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6A49" w:rsidRDefault="00B8788F">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【湛江市钟表眼镜公司等</w:t>
      </w:r>
      <w:r>
        <w:rPr>
          <w:rFonts w:ascii="仿宋" w:eastAsia="仿宋" w:hAnsi="仿宋" w:cs="仿宋" w:hint="eastAsia"/>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4E6A49" w:rsidRDefault="00B8788F">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4E6A49" w:rsidRDefault="00B8788F">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资产信息：【湛江市钟表眼镜公司等</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户债权】不良资产，标的资产处置基准日为</w:t>
      </w:r>
      <w:r>
        <w:rPr>
          <w:rFonts w:ascii="仿宋" w:eastAsia="仿宋" w:hAnsi="仿宋" w:cs="仿宋" w:hint="eastAsia"/>
          <w:kern w:val="0"/>
          <w:sz w:val="28"/>
          <w:szCs w:val="28"/>
          <w:shd w:val="clear" w:color="auto" w:fill="FFFFFF"/>
          <w:lang w:bidi="ar"/>
        </w:rPr>
        <w:t>2024</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shd w:val="clear" w:color="auto" w:fill="FFFFFF"/>
          <w:lang w:bidi="ar"/>
        </w:rPr>
        <w:t>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5,375.78</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4E6A49" w:rsidRDefault="00B8788F">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4E6A49" w:rsidRDefault="00B8788F">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抵押物名称及地址：</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湛江市霞山区逸仙路的</w:t>
      </w:r>
      <w:r>
        <w:rPr>
          <w:rFonts w:ascii="仿宋_GB2312" w:eastAsia="仿宋_GB2312" w:hAnsi="仿宋_GB2312" w:cs="仿宋_GB2312"/>
          <w:sz w:val="28"/>
          <w:szCs w:val="28"/>
        </w:rPr>
        <w:t>28-34</w:t>
      </w:r>
      <w:r>
        <w:rPr>
          <w:rFonts w:ascii="仿宋_GB2312" w:eastAsia="仿宋_GB2312" w:hAnsi="仿宋_GB2312" w:cs="仿宋_GB2312" w:hint="eastAsia"/>
          <w:sz w:val="28"/>
          <w:szCs w:val="28"/>
        </w:rPr>
        <w:t>号商铺</w:t>
      </w:r>
      <w:r>
        <w:rPr>
          <w:rFonts w:ascii="仿宋_GB2312" w:eastAsia="仿宋_GB2312" w:hAnsi="仿宋_GB2312" w:cs="仿宋_GB2312"/>
          <w:sz w:val="28"/>
          <w:szCs w:val="28"/>
        </w:rPr>
        <w:t>】，共计【</w:t>
      </w:r>
      <w:r>
        <w:rPr>
          <w:rFonts w:ascii="仿宋_GB2312" w:eastAsia="仿宋_GB2312" w:hAnsi="仿宋_GB2312" w:cs="仿宋_GB2312"/>
          <w:sz w:val="28"/>
          <w:szCs w:val="28"/>
        </w:rPr>
        <w:t>202.76</w:t>
      </w:r>
      <w:r>
        <w:rPr>
          <w:rFonts w:ascii="仿宋_GB2312" w:eastAsia="仿宋_GB2312" w:hAnsi="仿宋_GB2312" w:cs="仿宋_GB2312"/>
          <w:sz w:val="28"/>
          <w:szCs w:val="28"/>
        </w:rPr>
        <w:t>】平方米</w:t>
      </w:r>
      <w:r>
        <w:rPr>
          <w:rFonts w:ascii="仿宋_GB2312" w:eastAsia="仿宋_GB2312" w:hAnsi="仿宋_GB2312" w:cs="仿宋_GB2312" w:hint="eastAsia"/>
          <w:sz w:val="28"/>
          <w:szCs w:val="28"/>
        </w:rPr>
        <w:t>。</w:t>
      </w:r>
    </w:p>
    <w:p w:rsidR="004E6A49" w:rsidRDefault="00B8788F">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4E6A49">
        <w:trPr>
          <w:trHeight w:val="2840"/>
        </w:trPr>
        <w:tc>
          <w:tcPr>
            <w:tcW w:w="5000" w:type="pct"/>
            <w:gridSpan w:val="2"/>
            <w:tcBorders>
              <w:top w:val="dashed" w:sz="4" w:space="0" w:color="auto"/>
              <w:left w:val="dashed" w:sz="4" w:space="0" w:color="auto"/>
              <w:bottom w:val="dashed" w:sz="4" w:space="0" w:color="auto"/>
              <w:right w:val="dashed" w:sz="4" w:space="0" w:color="auto"/>
            </w:tcBorders>
          </w:tcPr>
          <w:p w:rsidR="004E6A49" w:rsidRDefault="00B8788F">
            <w:pPr>
              <w:widowControl/>
              <w:jc w:val="left"/>
              <w:rPr>
                <w:rFonts w:ascii="宋体" w:hAnsi="宋体" w:cs="宋体"/>
                <w:kern w:val="0"/>
                <w:sz w:val="24"/>
              </w:rPr>
            </w:pPr>
            <w:r>
              <w:rPr>
                <w:bCs/>
                <w:i/>
                <w:iCs/>
                <w:noProof/>
                <w:kern w:val="0"/>
                <w:sz w:val="28"/>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3343275</wp:posOffset>
                      </wp:positionH>
                      <wp:positionV relativeFrom="paragraph">
                        <wp:posOffset>1562735</wp:posOffset>
                      </wp:positionV>
                      <wp:extent cx="278765" cy="280035"/>
                      <wp:effectExtent l="19050" t="38100" r="45085" b="44450"/>
                      <wp:wrapNone/>
                      <wp:docPr id="4" name="星形: 五角 4"/>
                      <wp:cNvGraphicFramePr/>
                      <a:graphic xmlns:a="http://schemas.openxmlformats.org/drawingml/2006/main">
                        <a:graphicData uri="http://schemas.microsoft.com/office/word/2010/wordprocessingShape">
                          <wps:wsp>
                            <wps:cNvSpPr/>
                            <wps:spPr>
                              <a:xfrm>
                                <a:off x="0" y="0"/>
                                <a:ext cx="278953" cy="279752"/>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星形: 五角 4" o:spid="_x0000_s1026" style="position:absolute;left:0pt;margin-left:263.25pt;margin-top:123.05pt;height:22.05pt;width:21.95pt;z-index:251659264;v-text-anchor:middle;mso-width-relative:page;mso-height-relative:page;" fillcolor="#FF0000" filled="t" stroked="t" coordsize="278953,279752" o:gfxdata="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HDxEg7ZAAAACwEAAA8AAAAAAAAAAQAgAAAAIgAAAGRycy9kb3ducmV2&#10;LnhtbFBLAQIUABQAAAAIAIdO4kDlObfJbQIAAOUEAAAOAAAAAAAAAAEAIAAAACgBAABkcnMvZTJv&#10;RG9jLnhtbFBLBQYAAAAABgAGAFkBAAAHBgAAAAA=&#10;" path="m0,106855l106551,106856,139476,0,172401,106856,278952,106855,192750,172895,225677,279751,139476,213710,53275,279751,86202,172895xe">
                      <v:path o:connectlocs="139476,0;0,106855;53275,279751;225677,279751;278952,106855" o:connectangles="247,164,82,82,0"/>
                      <v:fill on="t" focussize="0,0"/>
                      <v:stroke weight="2pt" color="#FF0000 [3204]" joinstyle="round"/>
                      <v:imagedata o:title=""/>
                      <o:lock v:ext="edit" aspectratio="f"/>
                    </v:shape>
                  </w:pict>
                </mc:Fallback>
              </mc:AlternateContent>
            </w:r>
            <w:r>
              <w:rPr>
                <w:rFonts w:ascii="宋体" w:hAnsi="宋体" w:cs="宋体"/>
                <w:noProof/>
                <w:kern w:val="0"/>
                <w:sz w:val="24"/>
              </w:rPr>
              <w:drawing>
                <wp:inline distT="0" distB="0" distL="0" distR="0">
                  <wp:extent cx="513080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130800" cy="2990850"/>
                          </a:xfrm>
                          <a:prstGeom prst="rect">
                            <a:avLst/>
                          </a:prstGeom>
                          <a:noFill/>
                          <a:ln>
                            <a:noFill/>
                          </a:ln>
                        </pic:spPr>
                      </pic:pic>
                    </a:graphicData>
                  </a:graphic>
                </wp:inline>
              </w:drawing>
            </w:r>
          </w:p>
        </w:tc>
      </w:tr>
      <w:tr w:rsidR="004E6A49">
        <w:tc>
          <w:tcPr>
            <w:tcW w:w="2392" w:type="pct"/>
            <w:tcBorders>
              <w:top w:val="dashed" w:sz="4" w:space="0" w:color="auto"/>
              <w:left w:val="dashed" w:sz="4" w:space="0" w:color="auto"/>
              <w:bottom w:val="dashed" w:sz="4" w:space="0" w:color="auto"/>
              <w:right w:val="dashed" w:sz="4" w:space="0" w:color="auto"/>
            </w:tcBorders>
          </w:tcPr>
          <w:p w:rsidR="004E6A49" w:rsidRDefault="00B8788F">
            <w:pPr>
              <w:rPr>
                <w:bCs/>
                <w:kern w:val="0"/>
                <w:sz w:val="28"/>
                <w:szCs w:val="32"/>
              </w:rPr>
            </w:pPr>
            <w:r>
              <w:rPr>
                <w:bCs/>
                <w:noProof/>
                <w:kern w:val="0"/>
                <w:sz w:val="28"/>
                <w:szCs w:val="32"/>
              </w:rPr>
              <w:drawing>
                <wp:inline distT="0" distB="0" distL="0" distR="0">
                  <wp:extent cx="2383155" cy="178689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383155" cy="1786890"/>
                          </a:xfrm>
                          <a:prstGeom prst="rect">
                            <a:avLst/>
                          </a:prstGeom>
                          <a:noFill/>
                          <a:ln>
                            <a:noFill/>
                          </a:ln>
                        </pic:spPr>
                      </pic:pic>
                    </a:graphicData>
                  </a:graphic>
                </wp:inline>
              </w:drawing>
            </w:r>
          </w:p>
        </w:tc>
        <w:tc>
          <w:tcPr>
            <w:tcW w:w="2608" w:type="pct"/>
            <w:tcBorders>
              <w:top w:val="dashed" w:sz="4" w:space="0" w:color="auto"/>
              <w:left w:val="nil"/>
              <w:bottom w:val="dashed" w:sz="4" w:space="0" w:color="auto"/>
              <w:right w:val="dashed" w:sz="4" w:space="0" w:color="auto"/>
            </w:tcBorders>
          </w:tcPr>
          <w:p w:rsidR="004E6A49" w:rsidRDefault="00B8788F">
            <w:pPr>
              <w:rPr>
                <w:b/>
                <w:bCs/>
                <w:kern w:val="0"/>
                <w:sz w:val="28"/>
                <w:szCs w:val="32"/>
              </w:rPr>
            </w:pPr>
            <w:r>
              <w:rPr>
                <w:b/>
                <w:bCs/>
                <w:noProof/>
                <w:kern w:val="0"/>
                <w:sz w:val="28"/>
                <w:szCs w:val="32"/>
              </w:rPr>
              <w:drawing>
                <wp:inline distT="0" distB="0" distL="0" distR="0">
                  <wp:extent cx="2610485" cy="1957070"/>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610485" cy="1957070"/>
                          </a:xfrm>
                          <a:prstGeom prst="rect">
                            <a:avLst/>
                          </a:prstGeom>
                          <a:noFill/>
                          <a:ln>
                            <a:noFill/>
                          </a:ln>
                        </pic:spPr>
                      </pic:pic>
                    </a:graphicData>
                  </a:graphic>
                </wp:inline>
              </w:drawing>
            </w:r>
          </w:p>
        </w:tc>
      </w:tr>
    </w:tbl>
    <w:p w:rsidR="004E6A49" w:rsidRDefault="004E6A4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4E6A49" w:rsidRDefault="00B8788F">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4E6A49" w:rsidRDefault="00B8788F">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w:t>
      </w:r>
      <w:r>
        <w:rPr>
          <w:rFonts w:ascii="仿宋" w:eastAsia="仿宋" w:hAnsi="仿宋" w:cs="仿宋" w:hint="eastAsia"/>
          <w:kern w:val="0"/>
          <w:sz w:val="28"/>
          <w:szCs w:val="28"/>
          <w:u w:val="single"/>
          <w:shd w:val="clear" w:color="auto" w:fill="FFFFFF"/>
          <w:lang w:bidi="ar"/>
        </w:rPr>
        <w:t>1.</w:t>
      </w:r>
      <w:r>
        <w:rPr>
          <w:rFonts w:ascii="仿宋" w:eastAsia="仿宋" w:hAnsi="仿宋" w:cs="仿宋" w:hint="eastAsia"/>
          <w:kern w:val="0"/>
          <w:sz w:val="28"/>
          <w:szCs w:val="28"/>
          <w:u w:val="single"/>
          <w:shd w:val="clear" w:color="auto" w:fill="FFFFFF"/>
          <w:lang w:bidi="ar"/>
        </w:rPr>
        <w:t>本公告列示债务人和担保人应支付给广州资产管理有限公司的利息、罚息、复利、违约金及其它应付款，按借款合同、担保合同及中国人民银行的有关规定或生效法律文书确定的方法计算；</w:t>
      </w:r>
    </w:p>
    <w:p w:rsidR="004E6A49" w:rsidRDefault="00B8788F">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w:t>
      </w:r>
      <w:r>
        <w:rPr>
          <w:rFonts w:ascii="仿宋" w:eastAsia="仿宋" w:hAnsi="仿宋" w:cs="仿宋" w:hint="eastAsia"/>
          <w:kern w:val="0"/>
          <w:sz w:val="28"/>
          <w:szCs w:val="28"/>
          <w:u w:val="single"/>
          <w:shd w:val="clear" w:color="auto" w:fill="FFFFFF"/>
          <w:lang w:bidi="ar"/>
        </w:rPr>
        <w:t>若债务人、担保人因各种原因更名、改制、歇业、吊销营业执照或丧失民事主体资格的，请相关承债主体或主管部门代为履行义务或履行清算责任；</w:t>
      </w:r>
    </w:p>
    <w:p w:rsidR="004E6A49" w:rsidRDefault="00B8788F">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w:t>
      </w:r>
      <w:r>
        <w:rPr>
          <w:rFonts w:ascii="仿宋" w:eastAsia="仿宋" w:hAnsi="仿宋" w:cs="仿宋" w:hint="eastAsia"/>
          <w:kern w:val="0"/>
          <w:sz w:val="28"/>
          <w:szCs w:val="28"/>
          <w:u w:val="single"/>
          <w:shd w:val="clear" w:color="auto" w:fill="FFFFFF"/>
          <w:lang w:bidi="ar"/>
        </w:rPr>
        <w:t>公告当中内容如有错漏，以债务人、担保人等原已签署的交易合同及</w:t>
      </w:r>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或生效法律文书等相关法律文件为准；</w:t>
      </w:r>
    </w:p>
    <w:p w:rsidR="004E6A49" w:rsidRDefault="00B8788F">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4E6A49" w:rsidRDefault="00B8788F">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4E6A49" w:rsidRDefault="00B8788F">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150</w:t>
      </w:r>
      <w:r>
        <w:rPr>
          <w:rFonts w:ascii="仿宋" w:eastAsia="仿宋" w:hAnsi="仿宋" w:cs="仿宋" w:hint="eastAsia"/>
          <w:b/>
          <w:kern w:val="0"/>
          <w:sz w:val="28"/>
          <w:szCs w:val="28"/>
          <w:shd w:val="clear" w:color="auto" w:fill="FFFFFF"/>
          <w:lang w:bidi="ar"/>
        </w:rPr>
        <w:t>】万元，保证金：【</w:t>
      </w:r>
      <w:r>
        <w:rPr>
          <w:rFonts w:ascii="仿宋" w:eastAsia="仿宋" w:hAnsi="仿宋" w:cs="仿宋"/>
          <w:b/>
          <w:kern w:val="0"/>
          <w:sz w:val="28"/>
          <w:szCs w:val="28"/>
          <w:shd w:val="clear" w:color="auto" w:fill="FFFFFF"/>
          <w:lang w:bidi="ar"/>
        </w:rPr>
        <w:t>45</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Pr>
          <w:rFonts w:ascii="仿宋" w:eastAsia="仿宋" w:hAnsi="仿宋" w:cs="仿宋" w:hint="eastAsia"/>
          <w:sz w:val="28"/>
          <w:szCs w:val="28"/>
        </w:rPr>
        <w:t>7</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w:t>
      </w:r>
      <w:r>
        <w:rPr>
          <w:rFonts w:ascii="仿宋" w:eastAsia="仿宋" w:hAnsi="仿宋" w:cs="仿宋" w:hint="eastAsia"/>
          <w:sz w:val="28"/>
          <w:szCs w:val="28"/>
        </w:rPr>
        <w:t>+</w:t>
      </w:r>
      <w:r>
        <w:rPr>
          <w:rFonts w:ascii="仿宋" w:eastAsia="仿宋" w:hAnsi="仿宋" w:cs="仿宋" w:hint="eastAsia"/>
          <w:sz w:val="28"/>
          <w:szCs w:val="28"/>
        </w:rPr>
        <w:t>第一次竞买最小加价额作为第二次竞价的起始价；如果第二次竞价无人出价，则第一次竞买人为买受人。</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w:t>
      </w:r>
      <w:r>
        <w:rPr>
          <w:rFonts w:ascii="仿宋" w:eastAsia="仿宋" w:hAnsi="仿宋" w:cs="仿宋" w:hint="eastAsia"/>
          <w:sz w:val="28"/>
          <w:szCs w:val="28"/>
        </w:rPr>
        <w:t>5</w:t>
      </w:r>
      <w:r>
        <w:rPr>
          <w:rFonts w:ascii="仿宋" w:eastAsia="仿宋" w:hAnsi="仿宋" w:cs="仿宋" w:hint="eastAsia"/>
          <w:sz w:val="28"/>
          <w:szCs w:val="28"/>
        </w:rPr>
        <w:t>分钟如果有竞买人出价，就自动延迟</w:t>
      </w:r>
      <w:r>
        <w:rPr>
          <w:rFonts w:ascii="仿宋" w:eastAsia="仿宋" w:hAnsi="仿宋" w:cs="仿宋" w:hint="eastAsia"/>
          <w:sz w:val="28"/>
          <w:szCs w:val="28"/>
        </w:rPr>
        <w:t>5</w:t>
      </w:r>
      <w:r>
        <w:rPr>
          <w:rFonts w:ascii="仿宋" w:eastAsia="仿宋" w:hAnsi="仿宋" w:cs="仿宋" w:hint="eastAsia"/>
          <w:sz w:val="28"/>
          <w:szCs w:val="28"/>
        </w:rPr>
        <w:t>分钟。</w:t>
      </w:r>
    </w:p>
    <w:p w:rsidR="004E6A49" w:rsidRDefault="00B8788F">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shd w:val="clear" w:color="auto" w:fill="FFFFFF"/>
          <w:lang w:bidi="ar"/>
        </w:rPr>
        <w:t>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w:t>
      </w:r>
      <w:r>
        <w:rPr>
          <w:rFonts w:ascii="仿宋" w:eastAsia="仿宋" w:hAnsi="仿宋" w:cs="仿宋" w:hint="eastAsia"/>
          <w:kern w:val="0"/>
          <w:sz w:val="28"/>
          <w:szCs w:val="28"/>
          <w:shd w:val="clear" w:color="auto" w:fill="FFFFFF"/>
          <w:lang w:bidi="ar"/>
        </w:rPr>
        <w:lastRenderedPageBreak/>
        <w:t>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w:t>
      </w:r>
      <w:r>
        <w:rPr>
          <w:rFonts w:ascii="仿宋" w:eastAsia="仿宋" w:hAnsi="仿宋" w:cs="仿宋" w:hint="eastAsia"/>
          <w:kern w:val="0"/>
          <w:sz w:val="28"/>
          <w:szCs w:val="28"/>
          <w:shd w:val="clear" w:color="auto" w:fill="FFFFFF"/>
          <w:lang w:bidi="ar"/>
        </w:rPr>
        <w:t>定为准），期间不计利息。</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）竞买人成功竞得标的资产后拒绝或未在规定期限内签订债权转让协议或未按规定支付款项及其他费用；（</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w:t>
      </w:r>
      <w:r>
        <w:rPr>
          <w:rFonts w:ascii="仿宋" w:eastAsia="仿宋" w:hAnsi="仿宋" w:cs="仿宋" w:hint="eastAsia"/>
          <w:kern w:val="0"/>
          <w:sz w:val="28"/>
          <w:szCs w:val="28"/>
          <w:shd w:val="clear" w:color="auto" w:fill="FFFFFF"/>
          <w:lang w:bidi="ar"/>
        </w:rPr>
        <w:t>格谋取暴利；④以公济私谋取暴利；⑤其他通过非正当手段扰乱市场的行为；（</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4E6A49" w:rsidRDefault="00B8788F">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的转让价款，</w:t>
      </w:r>
      <w:r>
        <w:rPr>
          <w:rFonts w:ascii="仿宋" w:eastAsia="仿宋" w:hAnsi="仿宋" w:cs="仿宋" w:hint="eastAsia"/>
          <w:kern w:val="0"/>
          <w:sz w:val="28"/>
          <w:szCs w:val="28"/>
          <w:shd w:val="clear" w:color="auto" w:fill="FFFFFF"/>
          <w:lang w:bidi="ar"/>
        </w:rPr>
        <w:t>剩余转让价款在</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年内分期支付完毕，且</w:t>
      </w:r>
      <w:r>
        <w:rPr>
          <w:rFonts w:ascii="仿宋" w:eastAsia="仿宋" w:hAnsi="仿宋" w:cs="仿宋" w:hint="eastAsia"/>
          <w:kern w:val="0"/>
          <w:sz w:val="28"/>
          <w:szCs w:val="28"/>
          <w:shd w:val="clear" w:color="auto" w:fill="FFFFFF"/>
          <w:lang w:bidi="ar"/>
        </w:rPr>
        <w:t>自处置成交之日起一年内应累计支付不低于处置成交价款</w:t>
      </w:r>
      <w:r>
        <w:rPr>
          <w:rFonts w:ascii="仿宋" w:eastAsia="仿宋" w:hAnsi="仿宋" w:cs="仿宋" w:hint="eastAsia"/>
          <w:kern w:val="0"/>
          <w:sz w:val="28"/>
          <w:szCs w:val="28"/>
          <w:shd w:val="clear" w:color="auto" w:fill="FFFFFF"/>
          <w:lang w:bidi="ar"/>
        </w:rPr>
        <w:t>50%</w:t>
      </w:r>
      <w:r>
        <w:rPr>
          <w:rFonts w:ascii="仿宋" w:eastAsia="仿宋" w:hAnsi="仿宋" w:cs="仿宋" w:hint="eastAsia"/>
          <w:kern w:val="0"/>
          <w:sz w:val="28"/>
          <w:szCs w:val="28"/>
          <w:shd w:val="clear" w:color="auto" w:fill="FFFFFF"/>
          <w:lang w:bidi="ar"/>
        </w:rPr>
        <w:t>的转让价款。分期支付期间，受让方须以剩余未付转让价款为基数，按照</w:t>
      </w:r>
      <w:r>
        <w:rPr>
          <w:rFonts w:ascii="仿宋" w:eastAsia="仿宋" w:hAnsi="仿宋" w:cs="仿宋" w:hint="eastAsia"/>
          <w:kern w:val="0"/>
          <w:sz w:val="28"/>
          <w:szCs w:val="28"/>
          <w:shd w:val="clear" w:color="auto" w:fill="FFFFFF"/>
          <w:lang w:bidi="ar"/>
        </w:rPr>
        <w:t>12%/</w:t>
      </w:r>
      <w:r>
        <w:rPr>
          <w:rFonts w:ascii="仿宋" w:eastAsia="仿宋" w:hAnsi="仿宋" w:cs="仿宋" w:hint="eastAsia"/>
          <w:kern w:val="0"/>
          <w:sz w:val="28"/>
          <w:szCs w:val="28"/>
          <w:shd w:val="clear" w:color="auto" w:fill="FFFFFF"/>
          <w:lang w:bidi="ar"/>
        </w:rPr>
        <w:t>年的标准按季向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支付资金占用费，期间债权处置回收优先冲抵成交价款及资金占用费。</w:t>
      </w:r>
    </w:p>
    <w:p w:rsidR="004E6A49" w:rsidRDefault="00B8788F">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w:t>
      </w:r>
      <w:r>
        <w:rPr>
          <w:rFonts w:ascii="仿宋" w:eastAsia="仿宋" w:hAnsi="仿宋" w:cs="仿宋" w:hint="eastAsia"/>
          <w:kern w:val="0"/>
          <w:sz w:val="28"/>
          <w:szCs w:val="28"/>
          <w:shd w:val="clear" w:color="auto" w:fill="FFFFFF"/>
          <w:lang w:bidi="ar"/>
        </w:rPr>
        <w:t>一定的资金实力和良好的信誉条件。</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保证人及关联企业等利益相关方；相关法律、行政法规及规范性文件中规定的不得购买或变相购买不良资产的主体，或前述主体投资、控制或享有其他权益的企业或其他实体。符合条件的人员应进一步保证</w:t>
      </w:r>
      <w:r>
        <w:rPr>
          <w:rFonts w:ascii="仿宋" w:eastAsia="仿宋" w:hAnsi="仿宋" w:cs="仿宋" w:hint="eastAsia"/>
          <w:kern w:val="0"/>
          <w:sz w:val="28"/>
          <w:szCs w:val="28"/>
          <w:shd w:val="clear" w:color="auto" w:fill="FFFFFF"/>
          <w:lang w:bidi="ar"/>
        </w:rPr>
        <w:t>不向前述主体或其投资、控制的实体转让债权。</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4E6A49" w:rsidRDefault="00B8788F">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4E6A49" w:rsidRDefault="00B8788F">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4E6A49" w:rsidRDefault="004E6A49">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4E6A49" w:rsidRDefault="00B8788F">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w:t>
      </w:r>
      <w:r>
        <w:rPr>
          <w:rFonts w:ascii="仿宋" w:eastAsia="仿宋" w:hAnsi="仿宋" w:cs="仿宋" w:hint="eastAsia"/>
          <w:kern w:val="0"/>
          <w:sz w:val="28"/>
          <w:szCs w:val="28"/>
          <w:shd w:val="clear" w:color="auto" w:fill="FFFFFF"/>
          <w:lang w:bidi="ar"/>
        </w:rPr>
        <w:t>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bCs/>
          <w:kern w:val="0"/>
          <w:sz w:val="28"/>
          <w:szCs w:val="28"/>
          <w:shd w:val="clear" w:color="auto" w:fill="FFFFFF"/>
          <w:lang w:bidi="ar"/>
        </w:rPr>
        <w:t>24</w:t>
      </w:r>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rsidR="004E6A49" w:rsidRDefault="00B8788F">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1"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联系人：</w:t>
      </w:r>
      <w:bookmarkEnd w:id="1"/>
      <w:r>
        <w:rPr>
          <w:rFonts w:ascii="仿宋" w:eastAsia="仿宋" w:hAnsi="仿宋" w:cs="仿宋" w:hint="eastAsia"/>
          <w:kern w:val="0"/>
          <w:sz w:val="28"/>
          <w:szCs w:val="28"/>
          <w:shd w:val="clear" w:color="auto" w:fill="FFFFFF"/>
          <w:lang w:bidi="ar"/>
        </w:rPr>
        <w:t>朱先生</w:t>
      </w:r>
    </w:p>
    <w:p w:rsidR="004E6A49" w:rsidRDefault="00B8788F">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hint="eastAsia"/>
          <w:kern w:val="0"/>
          <w:sz w:val="28"/>
          <w:szCs w:val="28"/>
          <w:shd w:val="clear" w:color="auto" w:fill="FFFFFF"/>
          <w:lang w:bidi="ar"/>
        </w:rPr>
        <w:t>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4E6A49" w:rsidRDefault="004E6A49">
      <w:pPr>
        <w:autoSpaceDN w:val="0"/>
        <w:spacing w:line="660" w:lineRule="exact"/>
        <w:rPr>
          <w:rFonts w:ascii="仿宋" w:eastAsia="仿宋" w:hAnsi="仿宋" w:cs="仿宋"/>
          <w:kern w:val="0"/>
          <w:sz w:val="28"/>
          <w:szCs w:val="28"/>
          <w:shd w:val="clear" w:color="auto" w:fill="FFFFFF"/>
          <w:lang w:bidi="ar"/>
        </w:rPr>
      </w:pPr>
    </w:p>
    <w:p w:rsidR="004E6A49" w:rsidRDefault="00B8788F">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w:t>
      </w:r>
      <w:r>
        <w:rPr>
          <w:rFonts w:ascii="仿宋" w:eastAsia="仿宋" w:hAnsi="仿宋" w:cs="仿宋" w:hint="eastAsia"/>
          <w:kern w:val="0"/>
          <w:sz w:val="28"/>
          <w:szCs w:val="28"/>
          <w:shd w:val="clear" w:color="auto" w:fill="FFFFFF"/>
          <w:lang w:bidi="ar"/>
        </w:rPr>
        <w:t>受人要求，可出具成交价款收据，不就成交价款出具相关发票。</w:t>
      </w:r>
    </w:p>
    <w:p w:rsidR="004E6A49" w:rsidRDefault="004E6A49">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4E6A49" w:rsidRDefault="00B8788F">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4E6A49" w:rsidRDefault="00B8788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w:t>
      </w:r>
      <w:r>
        <w:rPr>
          <w:rFonts w:ascii="仿宋" w:eastAsia="仿宋" w:hAnsi="仿宋" w:cs="仿宋" w:hint="eastAsia"/>
          <w:kern w:val="0"/>
          <w:sz w:val="28"/>
          <w:szCs w:val="28"/>
          <w:shd w:val="clear" w:color="auto" w:fill="FFFFFF"/>
          <w:lang w:bidi="ar"/>
        </w:rPr>
        <w:t>400-622-9586</w:t>
      </w:r>
      <w:r>
        <w:rPr>
          <w:rFonts w:ascii="仿宋" w:eastAsia="仿宋" w:hAnsi="仿宋" w:cs="仿宋" w:hint="eastAsia"/>
          <w:kern w:val="0"/>
          <w:sz w:val="28"/>
          <w:szCs w:val="28"/>
          <w:shd w:val="clear" w:color="auto" w:fill="FFFFFF"/>
          <w:lang w:bidi="ar"/>
        </w:rPr>
        <w:t>】。</w:t>
      </w:r>
    </w:p>
    <w:p w:rsidR="004E6A49" w:rsidRDefault="004E6A49">
      <w:pPr>
        <w:spacing w:line="360" w:lineRule="auto"/>
        <w:rPr>
          <w:rFonts w:ascii="仿宋" w:eastAsia="仿宋" w:hAnsi="仿宋" w:cs="仿宋"/>
          <w:kern w:val="0"/>
          <w:sz w:val="28"/>
          <w:szCs w:val="28"/>
          <w:shd w:val="clear" w:color="auto" w:fill="FFFFFF"/>
          <w:lang w:bidi="ar"/>
        </w:rPr>
      </w:pPr>
    </w:p>
    <w:p w:rsidR="004E6A49" w:rsidRDefault="004E6A49">
      <w:pPr>
        <w:spacing w:line="360" w:lineRule="auto"/>
        <w:rPr>
          <w:rFonts w:ascii="仿宋" w:eastAsia="仿宋" w:hAnsi="仿宋" w:cs="仿宋"/>
          <w:kern w:val="0"/>
          <w:sz w:val="28"/>
          <w:szCs w:val="28"/>
          <w:shd w:val="clear" w:color="auto" w:fill="FFFFFF"/>
          <w:lang w:bidi="ar"/>
        </w:rPr>
      </w:pPr>
    </w:p>
    <w:p w:rsidR="004E6A49" w:rsidRDefault="00B8788F">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4E6A49" w:rsidRDefault="00B8788F">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2" w:name="_GoBack"/>
      <w:bookmarkEnd w:id="2"/>
      <w:r>
        <w:rPr>
          <w:rFonts w:ascii="仿宋" w:eastAsia="仿宋" w:hAnsi="仿宋" w:cs="仿宋" w:hint="eastAsia"/>
          <w:sz w:val="28"/>
          <w:szCs w:val="28"/>
          <w:shd w:val="clear" w:color="auto" w:fill="FFFFFF"/>
        </w:rPr>
        <w:t>日</w:t>
      </w:r>
    </w:p>
    <w:p w:rsidR="004E6A49" w:rsidRDefault="004E6A49">
      <w:pPr>
        <w:spacing w:line="360" w:lineRule="auto"/>
        <w:jc w:val="left"/>
        <w:rPr>
          <w:rFonts w:ascii="仿宋" w:eastAsia="仿宋" w:hAnsi="仿宋" w:cs="仿宋"/>
          <w:sz w:val="28"/>
          <w:szCs w:val="28"/>
          <w:shd w:val="clear" w:color="auto" w:fill="FFFFFF"/>
        </w:rPr>
      </w:pPr>
    </w:p>
    <w:sectPr w:rsidR="004E6A49">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1214D"/>
    <w:rsid w:val="00120D47"/>
    <w:rsid w:val="00135C73"/>
    <w:rsid w:val="00137260"/>
    <w:rsid w:val="001624E4"/>
    <w:rsid w:val="0016319A"/>
    <w:rsid w:val="001C3D1B"/>
    <w:rsid w:val="001C53D8"/>
    <w:rsid w:val="002152EA"/>
    <w:rsid w:val="0024289E"/>
    <w:rsid w:val="0024746F"/>
    <w:rsid w:val="002550B7"/>
    <w:rsid w:val="00275EB9"/>
    <w:rsid w:val="00275ED9"/>
    <w:rsid w:val="002C2953"/>
    <w:rsid w:val="002D7F13"/>
    <w:rsid w:val="00303874"/>
    <w:rsid w:val="00320260"/>
    <w:rsid w:val="00326A50"/>
    <w:rsid w:val="00340788"/>
    <w:rsid w:val="00345B0C"/>
    <w:rsid w:val="00347AF5"/>
    <w:rsid w:val="00371A61"/>
    <w:rsid w:val="003D715D"/>
    <w:rsid w:val="003F0D81"/>
    <w:rsid w:val="0040008A"/>
    <w:rsid w:val="00422196"/>
    <w:rsid w:val="00434CDA"/>
    <w:rsid w:val="004A1EA0"/>
    <w:rsid w:val="004A71D2"/>
    <w:rsid w:val="004C34BA"/>
    <w:rsid w:val="004E6A49"/>
    <w:rsid w:val="004F6C7B"/>
    <w:rsid w:val="00502939"/>
    <w:rsid w:val="00504A8D"/>
    <w:rsid w:val="005362C0"/>
    <w:rsid w:val="00544AAA"/>
    <w:rsid w:val="00547267"/>
    <w:rsid w:val="005617B4"/>
    <w:rsid w:val="00597593"/>
    <w:rsid w:val="005D2208"/>
    <w:rsid w:val="005E6FE9"/>
    <w:rsid w:val="005F78D1"/>
    <w:rsid w:val="00636D06"/>
    <w:rsid w:val="0068628B"/>
    <w:rsid w:val="00687227"/>
    <w:rsid w:val="006B28F5"/>
    <w:rsid w:val="006B55F1"/>
    <w:rsid w:val="006D1744"/>
    <w:rsid w:val="006D6B22"/>
    <w:rsid w:val="006E6A61"/>
    <w:rsid w:val="006E7E8C"/>
    <w:rsid w:val="006F0E8E"/>
    <w:rsid w:val="006F1BA2"/>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92258C"/>
    <w:rsid w:val="00971B27"/>
    <w:rsid w:val="00991BF5"/>
    <w:rsid w:val="009A272A"/>
    <w:rsid w:val="009B706B"/>
    <w:rsid w:val="009D18EF"/>
    <w:rsid w:val="009E7452"/>
    <w:rsid w:val="00A05099"/>
    <w:rsid w:val="00A062C6"/>
    <w:rsid w:val="00A12FA1"/>
    <w:rsid w:val="00A175D8"/>
    <w:rsid w:val="00A1797B"/>
    <w:rsid w:val="00A2169A"/>
    <w:rsid w:val="00A47CDC"/>
    <w:rsid w:val="00A67B8D"/>
    <w:rsid w:val="00A814D6"/>
    <w:rsid w:val="00AE1DB8"/>
    <w:rsid w:val="00AF1AFC"/>
    <w:rsid w:val="00B225E8"/>
    <w:rsid w:val="00B30C56"/>
    <w:rsid w:val="00B37BAA"/>
    <w:rsid w:val="00B45B38"/>
    <w:rsid w:val="00B47BE4"/>
    <w:rsid w:val="00B65258"/>
    <w:rsid w:val="00B85223"/>
    <w:rsid w:val="00B8788F"/>
    <w:rsid w:val="00B94B35"/>
    <w:rsid w:val="00C12DBD"/>
    <w:rsid w:val="00C174BE"/>
    <w:rsid w:val="00C17ECA"/>
    <w:rsid w:val="00C33844"/>
    <w:rsid w:val="00C70462"/>
    <w:rsid w:val="00C759D5"/>
    <w:rsid w:val="00C84351"/>
    <w:rsid w:val="00C93962"/>
    <w:rsid w:val="00CA2BAB"/>
    <w:rsid w:val="00CC4AA7"/>
    <w:rsid w:val="00CE2B7B"/>
    <w:rsid w:val="00CE4F67"/>
    <w:rsid w:val="00CE5DE0"/>
    <w:rsid w:val="00D358A3"/>
    <w:rsid w:val="00D81B2D"/>
    <w:rsid w:val="00D91985"/>
    <w:rsid w:val="00D95E8F"/>
    <w:rsid w:val="00DA4E1A"/>
    <w:rsid w:val="00DB07D7"/>
    <w:rsid w:val="00E43999"/>
    <w:rsid w:val="00E63C10"/>
    <w:rsid w:val="00E7690B"/>
    <w:rsid w:val="00E77360"/>
    <w:rsid w:val="00E84A62"/>
    <w:rsid w:val="00EA7617"/>
    <w:rsid w:val="00EB46B7"/>
    <w:rsid w:val="00EC7E7F"/>
    <w:rsid w:val="00EF37FC"/>
    <w:rsid w:val="00F103E8"/>
    <w:rsid w:val="00F17B1B"/>
    <w:rsid w:val="00F4260F"/>
    <w:rsid w:val="00F43E93"/>
    <w:rsid w:val="00F4660C"/>
    <w:rsid w:val="00F70DF4"/>
    <w:rsid w:val="00FA4714"/>
    <w:rsid w:val="00FB493C"/>
    <w:rsid w:val="00FB706C"/>
    <w:rsid w:val="00FE1ADD"/>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337CE7"/>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DA2517F"/>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F63F043"/>
  <w15:docId w15:val="{DF3935AF-CA5E-44CF-B28D-EFADE7E8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autoRedefine/>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465</Words>
  <Characters>2657</Characters>
  <Application>Microsoft Office Word</Application>
  <DocSecurity>0</DocSecurity>
  <Lines>22</Lines>
  <Paragraphs>6</Paragraphs>
  <ScaleCrop>false</ScaleCrop>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55</cp:revision>
  <cp:lastPrinted>2024-09-23T01:04:00Z</cp:lastPrinted>
  <dcterms:created xsi:type="dcterms:W3CDTF">2020-03-19T02:16:00Z</dcterms:created>
  <dcterms:modified xsi:type="dcterms:W3CDTF">2025-02-11T01:40:00Z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